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snjbe414t19j" w:id="0"/>
    <w:bookmarkEnd w:id="0"/>
    <w:p w:rsidR="00000000" w:rsidDel="00000000" w:rsidP="00000000" w:rsidRDefault="00000000" w:rsidRPr="00000000" w14:paraId="00000001">
      <w:pPr>
        <w:pStyle w:val="Title"/>
        <w:ind w:firstLine="13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OSSERVAZIONE COLLETTIVA N. 2 ALLA DELIBERA DI CONSIGLIO COMUNALE N. 64 DEL 31/07/2025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80" w:lineRule="auto"/>
        <w:ind w:left="158" w:right="156" w:hanging="15"/>
        <w:jc w:val="left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Oggetto: Osservazione collettiva all’ Adozione del Piano Urbanistico Attuativo in variante al Piano deg li Interventi – area ex AGIP in via Vittorio Veneto (Comune di Belluno).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Rule="auto"/>
        <w:ind w:left="0" w:right="186" w:firstLine="0"/>
        <w:jc w:val="right"/>
        <w:rPr>
          <w:rFonts w:ascii="Arial" w:cs="Arial" w:eastAsia="Arial" w:hAnsi="Arial"/>
          <w:b w:val="1"/>
          <w:i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8"/>
          <w:szCs w:val="28"/>
          <w:rtl w:val="0"/>
        </w:rPr>
        <w:t xml:space="preserve">AL SIGNOR SINDACO DI BELLUNO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2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" w:right="1699" w:firstLine="14.00000000000000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Il sottoscritto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Luigi Filippo Daniele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Capofrazione di Baldenich e residente a Belluno, ai sensi dell’ art. 20, comma 3 della L.R. 11/2004, formula le seguenti osservazioni in merito alla mancanza di interesse pubblico nell’intervento previsto nell’ area ex AGIP. l’osservazione è corredata dalle firme dei cittadini.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numPr>
          <w:ilvl w:val="0"/>
          <w:numId w:val="2"/>
        </w:numPr>
        <w:tabs>
          <w:tab w:val="left" w:leader="none" w:pos="408"/>
        </w:tabs>
        <w:spacing w:after="0" w:before="1" w:line="240" w:lineRule="auto"/>
        <w:ind w:left="408" w:right="0" w:hanging="25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Carenza di motivazione sull’interesse pubblico prevalente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0" w:lineRule="auto"/>
        <w:ind w:left="158" w:right="1150" w:firstLine="28.000000000000007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Secondo i principi generali della L.R. 11/2004 e la Legge urbanistica nazionale (L. 1150/1942), gli strumenti urbanistici devono perseguire la tutela dell’ interesse generale e non limitarsi a soddisfare finalità speculative o di profitto privato.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Delibera di Consiglio Comunale n. 64/2025 non esplicita: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-quali benefici concreti derivino alla comunità locale dalla realizzazione di u na struttura di vendita di medie dimensioni;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-come l’opera si integri con le linee strategiche del Piano di Assetto del Territorio ( PAT), che privilegiano la rigenerazione urbana a fini ambientali e sociali;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1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-in che modo l’intervento contribuisca agli obiettivi di sostenibilità, riduzione del consumo di suolo e miglioramento della qualità della vita urbana, fissati sia dalla normativa regionale che dal Piano d’Azione per l’Energia Sostenibile (PAESC) a cui la Regione Veneto ha aderitonel 2025.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0" w:lineRule="auto"/>
        <w:ind w:left="130" w:right="0" w:firstLine="28.000000000000007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variante urbanistica appare, pertanto, priva di una valutazione puntuale del pubblico interesse, configurando una decisione orientata esclusivamente a favorire un’iniziativa commerciale privata.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numPr>
          <w:ilvl w:val="0"/>
          <w:numId w:val="2"/>
        </w:numPr>
        <w:tabs>
          <w:tab w:val="left" w:leader="none" w:pos="408"/>
        </w:tabs>
        <w:spacing w:after="0" w:before="0" w:line="240" w:lineRule="auto"/>
        <w:ind w:left="408" w:right="0" w:hanging="25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Incoerenza con la pianificazione vigente e le linee guida regionali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Il PAT e il PI del Comune di Belluno, nonché la Strategia Regionale di Rigenerazione Urbana (LR Veneto n. 17/2019), attribuiscono priorità: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-alla riqualificazione sostenibile di aree dismesse,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-alla realizzazione di servizi pubblici, spazi verdi e infrastrutture sociali, al contenimento del traffico e alla promozione della mobilità lenta.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  <w:sectPr>
          <w:pgSz w:h="31660" w:w="22390" w:orient="portrait"/>
          <w:pgMar w:bottom="280" w:top="3240" w:left="3259" w:right="3259" w:header="360" w:footer="360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-Il progetto in esame non rispetta tali obiettivi.</w:t>
      </w:r>
    </w:p>
    <w:p w:rsidR="00000000" w:rsidDel="00000000" w:rsidP="00000000" w:rsidRDefault="00000000" w:rsidRPr="00000000" w14:paraId="00000058">
      <w:pPr>
        <w:spacing w:before="72" w:lineRule="auto"/>
        <w:ind w:left="216" w:right="0" w:firstLine="0"/>
        <w:jc w:val="left"/>
        <w:rPr>
          <w:rFonts w:ascii="Arial" w:cs="Arial" w:eastAsia="Arial" w:hAnsi="Arial"/>
          <w:i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i w:val="1"/>
          <w:sz w:val="28"/>
          <w:szCs w:val="28"/>
          <w:rtl w:val="0"/>
        </w:rPr>
        <w:t xml:space="preserve">Al contrario: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 introduce servizi di interesse collettivo, se non marginalmente attraverso un’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opera compensativa (rotatoria in Piazza S. Giovanni Bosco), estranea al contesto immediato;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 prevede spazi verdi pubblici, aree di aggregazione o funzioni culturali;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 riduce il consumo di suolo, anzi consolida l’impermeabilizzazione di una zona strategica che potrebbe ospitare funzioni di maggiore utilità sociale.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Questa incoerenza costituisce un evidente vulnus alla legittimità dell’ atto sotto il profilo della congruità urbanistica.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1"/>
        <w:numPr>
          <w:ilvl w:val="0"/>
          <w:numId w:val="2"/>
        </w:numPr>
        <w:tabs>
          <w:tab w:val="left" w:leader="none" w:pos="394"/>
        </w:tabs>
        <w:spacing w:after="0" w:before="0" w:line="240" w:lineRule="auto"/>
        <w:ind w:left="394" w:right="0" w:hanging="25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Assenza di un’analisi sul fabbisogno commerciale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85" w:lineRule="auto"/>
        <w:ind w:left="144" w:right="79" w:firstLine="14.00000000000000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 è stato prodotto alcuno studio di mercato o analisi sul fabbisogno reale di superfici di vendita, nonostante l’art. 6 della L.R. Veneto n. 50/2012 ( “Politiche per lo sviluppo del sistema commerciale”) preveda valutazioni preventive sulla sostenibilità degli insediamenti. Alla luce dei dati disponibili: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il Comune di Belluno registra una diminuzione della popolazione residente (-5% negli ultimi 10 anni, fonte ISTAT);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il reddito medio pro capite è in calo e i consumi delle famiglie sono stagnanti;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nel raggio di 2 km dall’ area ex AGIP operano già almeno tre supermercati e numerosi punti vendita di medie dimensioni.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 assenza di fabbisogno reale, l’apertura di una nuova struttura rischia di determinare: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una sovraccapacità commerciale;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6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chiusura di negozi di prossimità, compromettendo il tessuto economico locale;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perdita di posti di lavoro nel medio periodo, a fronte di benefici occupazionali temporanei e non strutturali.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Style w:val="Heading1"/>
        <w:numPr>
          <w:ilvl w:val="0"/>
          <w:numId w:val="2"/>
        </w:numPr>
        <w:tabs>
          <w:tab w:val="left" w:leader="none" w:pos="394"/>
        </w:tabs>
        <w:spacing w:after="0" w:before="0" w:line="240" w:lineRule="auto"/>
        <w:ind w:left="394" w:right="0" w:hanging="25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Compensazioni inadeguate e non proporzionate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  <w:sectPr>
          <w:type w:val="nextPage"/>
          <w:pgSz w:h="31660" w:w="22390" w:orient="portrait"/>
          <w:pgMar w:bottom="280" w:top="3420" w:left="3259" w:right="3259" w:header="360" w:footer="360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Il contributo straordinario previsto ex art. 16. 4 lett. d ter) DPR 380/2001 deve essere finalizzato a opere pubbliche nel contesto dell’ intervento.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3" w:line="240" w:lineRule="auto"/>
        <w:ind w:left="2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Nel caso di specie: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realizzazione di una rotatoria in Piazza S. Giovanni Bosco non è funzionalmente collegata alla mitigazione degli impatti diretti generati dall’ insediamento;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0" w:lineRule="auto"/>
        <w:ind w:left="144" w:right="0" w:firstLine="14.00000000000000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non sono previste opere per mobilità sostenibile e circolare, percorsi ciclabili continui nella zona di Via Vittorio Veneto e Via Tiziano Vecellio, sicurezza pedonale o riqualificazione ambientale dell’area;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manca qualsiasi intervento destinato a spazi di aggregazione, aree verdi o servizi di quartiere, elementi essenziali per qualificare un’opera come di “interesse pubblico”.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Questa impostazione tradisce lo spirito dell’ art. 16, nonchè della delibera n. 43/2022 e priva la comunità di un ritorno proporzionato rispetto all’ impatto generato.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Style w:val="Heading1"/>
        <w:numPr>
          <w:ilvl w:val="0"/>
          <w:numId w:val="2"/>
        </w:numPr>
        <w:tabs>
          <w:tab w:val="left" w:leader="none" w:pos="394"/>
        </w:tabs>
        <w:spacing w:after="0" w:before="0" w:line="240" w:lineRule="auto"/>
        <w:ind w:left="394" w:right="0" w:hanging="25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Opportunità mancata per una vera rigenerazione urbana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54" w:lineRule="auto"/>
        <w:ind w:left="158" w:right="156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L’area ex AGIP costituisce un punto strategico di accesso alla città, con potenzialità di diventare un polo multifunzionale per servizi pubblici, spazi sociali e culturali, o per la creazione di un parco urbano a beneficio dell’ intera cittadinanza.</w: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17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Destinarla a una funzione esclusivamente commerciale significa, prima facie, perdere un’occasione storica di riqualificazione sostenibile. Inoltre le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conseguenze potrebbero essere quelle di: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aumentare il traffico in un nodo già congestionato, con impatti negativi sulla qualità dell’aria e sulla sicurezza stradale;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compromettere la vivibilità del quartiere, riducendo l’attrattività residenziale di Baldenich.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bookmarkStart w:colFirst="0" w:colLast="0" w:name="rnzuxq414ne9" w:id="1"/>
    <w:bookmarkEnd w:id="1"/>
    <w:p w:rsidR="00000000" w:rsidDel="00000000" w:rsidP="00000000" w:rsidRDefault="00000000" w:rsidRPr="00000000" w14:paraId="000000F3">
      <w:pPr>
        <w:pStyle w:val="Heading1"/>
        <w:ind w:left="144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CONCLUSIONI E RICHIESTE</w:t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6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 le ragioni sopra esposte, si chiede: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6"/>
        </w:tabs>
        <w:spacing w:after="0" w:before="0" w:line="271" w:lineRule="auto"/>
        <w:ind w:left="144" w:right="1699" w:firstLine="42.000000000000014"/>
        <w:jc w:val="left"/>
        <w:rPr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Annullamento della Delibera di Consiglio Comunale n. 64/2025, per mancanza di interesse pubblico, incoerenza con la pianificazione vigente e carenza di istruttoria in ordine al fabbisogno commerciale e agli impatti sociali ;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8"/>
        </w:tabs>
        <w:spacing w:after="0" w:before="0" w:line="252.00000000000003" w:lineRule="auto"/>
        <w:ind w:left="158" w:right="1007" w:firstLine="0"/>
        <w:jc w:val="left"/>
        <w:rPr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 fortiori, la sospensione dell’efficacia dell’atto e l’avvio di un percorso partecipativo che consenta di individuare soluzioni alternative per l’</w:t>
      </w:r>
    </w:p>
    <w:p w:rsidR="00000000" w:rsidDel="00000000" w:rsidP="00000000" w:rsidRDefault="00000000" w:rsidRPr="00000000" w14:paraId="00000106">
      <w:pPr>
        <w:spacing w:before="27" w:lineRule="auto"/>
        <w:ind w:left="144" w:right="0" w:firstLine="0"/>
        <w:jc w:val="left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area ex AGIP, prioritarie rispetto alle reali esigenze della città (spazi verdi, servizi di quartiere, strutture culturali e ricreative).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before="1" w:lineRule="auto"/>
        <w:ind w:left="130" w:right="0" w:firstLine="0"/>
        <w:jc w:val="left"/>
        <w:rPr>
          <w:rFonts w:ascii="Arial" w:cs="Arial" w:eastAsia="Arial" w:hAnsi="Arial"/>
          <w:b w:val="1"/>
          <w:sz w:val="28"/>
          <w:szCs w:val="28"/>
        </w:rPr>
        <w:sectPr>
          <w:type w:val="nextPage"/>
          <w:pgSz w:h="31660" w:w="22390" w:orient="portrait"/>
          <w:pgMar w:bottom="280" w:top="3720" w:left="3259" w:right="3259" w:header="360" w:footer="360"/>
        </w:sect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Belluno, 5 settembre</w:t>
      </w:r>
    </w:p>
    <w:p w:rsidR="00000000" w:rsidDel="00000000" w:rsidP="00000000" w:rsidRDefault="00000000" w:rsidRPr="00000000" w14:paraId="0000010B">
      <w:pPr>
        <w:pStyle w:val="Heading1"/>
        <w:spacing w:before="76" w:lineRule="auto"/>
        <w:ind w:left="13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OSSERVAZIONE COLLETTIVA N. 2 ALLA DELIBERA CONSILIARE 64/2025 del 31/07/2025</w:t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95" w:lineRule="auto"/>
        <w:ind w:left="130" w:right="974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Oggetto: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Osservazione all’adozione del Piano Urbanistico attuativo in variante al Piano degli Interventi Area ex Agip, Via Vittorio Veneto. I sottoscritti cittadini - ai sensi dell’art 20 comma 3 della L.R. Veneto n. 11/2004 - condividono integralmente il testo dell’ osservazione allegata e la sottoscrivono con i propri dati personali.</w:t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before="0" w:line="283" w:lineRule="auto"/>
        <w:ind w:left="144" w:right="974" w:hanging="15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sottoscrittori consentono, a norma degli articoli 6,7,9 del Regolamento UE 2019/679, al trattamento dei propri dati personali limitatamente al procedimento connesso alla presente raccolta firme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66496</wp:posOffset>
                </wp:positionH>
                <wp:positionV relativeFrom="paragraph">
                  <wp:posOffset>313630</wp:posOffset>
                </wp:positionV>
                <wp:extent cx="7924800" cy="1100645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1" name="Textbox 1"/>
                      <wps:spPr>
                        <a:xfrm>
                          <a:off x="0" y="0"/>
                          <a:ext cx="7924800" cy="11006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.0" w:type="auto"/>
                              <w:jc w:val="left"/>
                              <w:tblInd w:w="70.0" w:type="dxa"/>
                              <w:tblBorders>
                                <w:top w:color="000000" w:space="0" w:sz="8" w:val="single"/>
                                <w:left w:color="000000" w:space="0" w:sz="8" w:val="single"/>
                                <w:bottom w:color="000000" w:space="0" w:sz="8" w:val="single"/>
                                <w:right w:color="000000" w:space="0" w:sz="8" w:val="single"/>
                                <w:insideH w:color="000000" w:space="0" w:sz="8" w:val="single"/>
                                <w:insideV w:color="000000" w:space="0" w:sz="8" w:val="single"/>
                              </w:tblBorders>
                              <w:tblLayout w:type="fixed"/>
                              <w:tblCellMar>
                                <w:top w:w="0.0" w:type="dxa"/>
                                <w:left w:w="0.0" w:type="dxa"/>
                                <w:bottom w:w="0.0" w:type="dxa"/>
                                <w:right w:w="0.0" w:type="dxa"/>
                              </w:tblCellMar>
                              <w:tblLook w:val="01E0"/>
                            </w:tblPr>
                            <w:tblGrid>
                              <w:gridCol w:w="2878"/>
                              <w:gridCol w:w="2558"/>
                              <w:gridCol w:w="3141"/>
                              <w:gridCol w:w="3762"/>
                            </w:tblGrid>
                            <w:tr>
                              <w:trPr>
                                <w:trHeight w:val="788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spacing w:before="118" w:line="256" w:lineRule="auto"/>
                                    <w:ind w:left="97" w:right="1468"/>
                                    <w:rPr>
                                      <w:b w:val="1"/>
                                      <w:sz w:val="24"/>
                                    </w:rPr>
                                  </w:pPr>
                                  <w:r w:rsidDel="00000000" w:rsidR="00000000" w:rsidRPr="00000000">
                                    <w:rPr>
                                      <w:b w:val="1"/>
                                      <w:sz w:val="24"/>
                                    </w:rPr>
                                    <w:t>NOME E </w:t>
                                  </w:r>
                                  <w:r w:rsidDel="00000000" w:rsidR="00000000" w:rsidRPr="00000000">
                                    <w:rPr>
                                      <w:b w:val="1"/>
                                      <w:spacing w:val="-2"/>
                                      <w:sz w:val="24"/>
                                    </w:rPr>
                                    <w:t>COGNOME</w:t>
                                  </w: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spacing w:before="118"/>
                                    <w:ind w:left="280"/>
                                    <w:rPr>
                                      <w:b w:val="1"/>
                                      <w:sz w:val="24"/>
                                    </w:rPr>
                                  </w:pPr>
                                  <w:r w:rsidDel="00000000" w:rsidR="00000000" w:rsidRPr="00000000">
                                    <w:rPr>
                                      <w:b w:val="1"/>
                                      <w:spacing w:val="-2"/>
                                      <w:sz w:val="24"/>
                                    </w:rPr>
                                    <w:t>DOCUMENTO</w:t>
                                  </w: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spacing w:before="118" w:line="256" w:lineRule="auto"/>
                                    <w:ind w:left="107" w:right="1205" w:firstLine="135"/>
                                    <w:rPr>
                                      <w:b w:val="1"/>
                                      <w:sz w:val="24"/>
                                    </w:rPr>
                                  </w:pPr>
                                  <w:r w:rsidDel="00000000" w:rsidR="00000000" w:rsidRPr="00000000">
                                    <w:rPr>
                                      <w:b w:val="1"/>
                                      <w:sz w:val="24"/>
                                    </w:rPr>
                                    <w:t>VIA/PIAZZA</w:t>
                                  </w:r>
                                  <w:r w:rsidDel="00000000" w:rsidR="00000000" w:rsidRPr="00000000">
                                    <w:rPr>
                                      <w:b w:val="1"/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 w:rsidDel="00000000" w:rsidR="00000000" w:rsidRPr="00000000">
                                    <w:rPr>
                                      <w:b w:val="1"/>
                                      <w:sz w:val="24"/>
                                    </w:rPr>
                                    <w:t>DI </w:t>
                                  </w:r>
                                  <w:r w:rsidDel="00000000" w:rsidR="00000000" w:rsidRPr="00000000">
                                    <w:rPr>
                                      <w:b w:val="1"/>
                                      <w:spacing w:val="-2"/>
                                      <w:sz w:val="24"/>
                                    </w:rPr>
                                    <w:t>RESIDENZA</w:t>
                                  </w: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spacing w:before="118"/>
                                    <w:ind w:left="646"/>
                                    <w:rPr>
                                      <w:b w:val="1"/>
                                      <w:sz w:val="24"/>
                                    </w:rPr>
                                  </w:pPr>
                                  <w:r w:rsidDel="00000000" w:rsidR="00000000" w:rsidRPr="00000000">
                                    <w:rPr>
                                      <w:b w:val="1"/>
                                      <w:spacing w:val="-2"/>
                                      <w:sz w:val="24"/>
                                    </w:rPr>
                                    <w:t>FIRMA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7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7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7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69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7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7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7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31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57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713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31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0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0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0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31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0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50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63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44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63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63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63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44" w:hRule="atLeast"/>
                              </w:trPr>
                              <w:tc>
                                <w:tcPr>
                                  <w:tcW w:w="287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8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1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2.0" w:type="dxa"/>
                                </w:tcPr>
                                <w:p w:rsidR="00000000" w:rsidDel="00000000" w:rsidP="00000000" w:rsidRDefault="00000000" w:rsidRPr="0000000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00000" w:rsidDel="00000000" w:rsidP="00000000" w:rsidRDefault="00000000" w:rsidRPr="00000000">
                            <w:pPr>
                              <w:pStyle w:val="BodyText"/>
                            </w:pPr>
                          </w:p>
                        </w:txbxContent>
                      </wps:txbx>
                      <wps:bodyPr bIns="0" rtlCol="0" lIns="0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66496</wp:posOffset>
                </wp:positionH>
                <wp:positionV relativeFrom="paragraph">
                  <wp:posOffset>313630</wp:posOffset>
                </wp:positionV>
                <wp:extent cx="7924800" cy="1100645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24800" cy="110064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type w:val="nextPage"/>
      <w:pgSz w:h="31660" w:w="22390" w:orient="portrait"/>
      <w:pgMar w:bottom="280" w:top="3600" w:left="3259" w:right="3259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44" w:hanging="272"/>
      </w:pPr>
      <w:rPr>
        <w:rFonts w:ascii="Arial" w:cs="Arial" w:eastAsia="Arial" w:hAnsi="Arial"/>
        <w:b w:val="1"/>
        <w:i w:val="0"/>
        <w:sz w:val="24"/>
        <w:szCs w:val="24"/>
      </w:rPr>
    </w:lvl>
    <w:lvl w:ilvl="1">
      <w:start w:val="0"/>
      <w:numFmt w:val="bullet"/>
      <w:lvlText w:val="•"/>
      <w:lvlJc w:val="left"/>
      <w:pPr>
        <w:ind w:left="1712" w:hanging="272"/>
      </w:pPr>
      <w:rPr/>
    </w:lvl>
    <w:lvl w:ilvl="2">
      <w:start w:val="0"/>
      <w:numFmt w:val="bullet"/>
      <w:lvlText w:val="•"/>
      <w:lvlJc w:val="left"/>
      <w:pPr>
        <w:ind w:left="3285" w:hanging="272"/>
      </w:pPr>
      <w:rPr/>
    </w:lvl>
    <w:lvl w:ilvl="3">
      <w:start w:val="0"/>
      <w:numFmt w:val="bullet"/>
      <w:lvlText w:val="•"/>
      <w:lvlJc w:val="left"/>
      <w:pPr>
        <w:ind w:left="4858" w:hanging="272"/>
      </w:pPr>
      <w:rPr/>
    </w:lvl>
    <w:lvl w:ilvl="4">
      <w:start w:val="0"/>
      <w:numFmt w:val="bullet"/>
      <w:lvlText w:val="•"/>
      <w:lvlJc w:val="left"/>
      <w:pPr>
        <w:ind w:left="6431" w:hanging="272"/>
      </w:pPr>
      <w:rPr/>
    </w:lvl>
    <w:lvl w:ilvl="5">
      <w:start w:val="0"/>
      <w:numFmt w:val="bullet"/>
      <w:lvlText w:val="•"/>
      <w:lvlJc w:val="left"/>
      <w:pPr>
        <w:ind w:left="8003" w:hanging="272.0000000000009"/>
      </w:pPr>
      <w:rPr/>
    </w:lvl>
    <w:lvl w:ilvl="6">
      <w:start w:val="0"/>
      <w:numFmt w:val="bullet"/>
      <w:lvlText w:val="•"/>
      <w:lvlJc w:val="left"/>
      <w:pPr>
        <w:ind w:left="9576" w:hanging="272"/>
      </w:pPr>
      <w:rPr/>
    </w:lvl>
    <w:lvl w:ilvl="7">
      <w:start w:val="0"/>
      <w:numFmt w:val="bullet"/>
      <w:lvlText w:val="•"/>
      <w:lvlJc w:val="left"/>
      <w:pPr>
        <w:ind w:left="11149" w:hanging="272"/>
      </w:pPr>
      <w:rPr/>
    </w:lvl>
    <w:lvl w:ilvl="8">
      <w:start w:val="0"/>
      <w:numFmt w:val="bullet"/>
      <w:lvlText w:val="•"/>
      <w:lvlJc w:val="left"/>
      <w:pPr>
        <w:ind w:left="12722" w:hanging="272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409" w:hanging="251.00000000000003"/>
      </w:pPr>
      <w:rPr>
        <w:rFonts w:ascii="Arial" w:cs="Arial" w:eastAsia="Arial" w:hAnsi="Arial"/>
        <w:b w:val="1"/>
        <w:i w:val="0"/>
        <w:sz w:val="22"/>
        <w:szCs w:val="22"/>
      </w:rPr>
    </w:lvl>
    <w:lvl w:ilvl="1">
      <w:start w:val="0"/>
      <w:numFmt w:val="bullet"/>
      <w:lvlText w:val="•"/>
      <w:lvlJc w:val="left"/>
      <w:pPr>
        <w:ind w:left="1946" w:hanging="251"/>
      </w:pPr>
      <w:rPr/>
    </w:lvl>
    <w:lvl w:ilvl="2">
      <w:start w:val="0"/>
      <w:numFmt w:val="bullet"/>
      <w:lvlText w:val="•"/>
      <w:lvlJc w:val="left"/>
      <w:pPr>
        <w:ind w:left="3493" w:hanging="251"/>
      </w:pPr>
      <w:rPr/>
    </w:lvl>
    <w:lvl w:ilvl="3">
      <w:start w:val="0"/>
      <w:numFmt w:val="bullet"/>
      <w:lvlText w:val="•"/>
      <w:lvlJc w:val="left"/>
      <w:pPr>
        <w:ind w:left="5040" w:hanging="251"/>
      </w:pPr>
      <w:rPr/>
    </w:lvl>
    <w:lvl w:ilvl="4">
      <w:start w:val="0"/>
      <w:numFmt w:val="bullet"/>
      <w:lvlText w:val="•"/>
      <w:lvlJc w:val="left"/>
      <w:pPr>
        <w:ind w:left="6587" w:hanging="251"/>
      </w:pPr>
      <w:rPr/>
    </w:lvl>
    <w:lvl w:ilvl="5">
      <w:start w:val="0"/>
      <w:numFmt w:val="bullet"/>
      <w:lvlText w:val="•"/>
      <w:lvlJc w:val="left"/>
      <w:pPr>
        <w:ind w:left="8133" w:hanging="251.0000000000009"/>
      </w:pPr>
      <w:rPr/>
    </w:lvl>
    <w:lvl w:ilvl="6">
      <w:start w:val="0"/>
      <w:numFmt w:val="bullet"/>
      <w:lvlText w:val="•"/>
      <w:lvlJc w:val="left"/>
      <w:pPr>
        <w:ind w:left="9680" w:hanging="251"/>
      </w:pPr>
      <w:rPr/>
    </w:lvl>
    <w:lvl w:ilvl="7">
      <w:start w:val="0"/>
      <w:numFmt w:val="bullet"/>
      <w:lvlText w:val="•"/>
      <w:lvlJc w:val="left"/>
      <w:pPr>
        <w:ind w:left="11227" w:hanging="250.99999999999818"/>
      </w:pPr>
      <w:rPr/>
    </w:lvl>
    <w:lvl w:ilvl="8">
      <w:start w:val="0"/>
      <w:numFmt w:val="bullet"/>
      <w:lvlText w:val="•"/>
      <w:lvlJc w:val="left"/>
      <w:pPr>
        <w:ind w:left="12774" w:hanging="250.99999999999818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ind w:left="394" w:hanging="250"/>
    </w:pPr>
    <w:rPr>
      <w:rFonts w:ascii="Arial" w:cs="Arial" w:eastAsia="Arial" w:hAnsi="Arial"/>
      <w:b w:val="1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70" w:lineRule="auto"/>
      <w:ind w:left="130"/>
    </w:pPr>
    <w:rPr>
      <w:rFonts w:ascii="Arial" w:cs="Arial" w:eastAsia="Arial" w:hAnsi="Arial"/>
      <w:b w:val="1"/>
      <w:sz w:val="26"/>
      <w:szCs w:val="2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